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FFEA" w14:textId="0F815C77" w:rsidR="00DD0A2A" w:rsidRDefault="00243EDD" w:rsidP="00243EDD">
      <w:pPr>
        <w:pStyle w:val="Titre1"/>
        <w:rPr>
          <w:rStyle w:val="eop"/>
        </w:rPr>
      </w:pPr>
      <w:r w:rsidRPr="00243EDD">
        <w:rPr>
          <w:rStyle w:val="normaltextrun"/>
        </w:rPr>
        <w:t>Penser les ressources pédagogiques comme "êtres culturels" : l'enjeu de l'articulation des approches théoriques et méthodologiques</w:t>
      </w:r>
      <w:r w:rsidRPr="00243EDD">
        <w:rPr>
          <w:rStyle w:val="eop"/>
        </w:rPr>
        <w:t> </w:t>
      </w:r>
    </w:p>
    <w:p w14:paraId="5A6E2B48" w14:textId="77777777" w:rsidR="00243EDD" w:rsidRDefault="00243EDD" w:rsidP="00243EDD"/>
    <w:p w14:paraId="636A5D94" w14:textId="74D52BA0" w:rsidR="00243EDD" w:rsidRPr="00243EDD" w:rsidRDefault="00243EDD" w:rsidP="00243EDD">
      <w:pPr>
        <w:jc w:val="both"/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Cette conférence vise à montrer l’intérêt de l’articulation des approches théoriques et méthodologiques pour analyser « la vie sociale » des ressources pédagogiques. Elle proposera pour cela d’aborder une pluralité de cas d’étude tant en termes de formats (kits pédagogiques,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serious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games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, manuels, banques de cas pédagogiques, etc.) que de contextes d’éducation et de formation (enseignement primaire, secondaire, supérieur, formation professionnelle et éducation populaire). La conférence sera organisée en trois temps qui correspondent à trois dynamiques (inspirées des travaux d’Yves Jeanneret sur la trivialité) : l’analyse des discours des 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  <w:lang w:val="fr-FR"/>
        </w:rPr>
        <w:t>prétentions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 des ressources pédagogiques, l’analyse de leur 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  <w:lang w:val="fr-FR"/>
        </w:rPr>
        <w:t>prédilection sémiotique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 xml:space="preserve"> qui correspond à l’examen de leur matérialité et enfin l’appréhension 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  <w:lang w:val="fr-FR"/>
        </w:rPr>
        <w:t>des implications de communication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, c’est-à-dire la tension entre les modalités de prescription d’usages et la réalité des appropriations qu’en font les acteurs.</w:t>
      </w:r>
    </w:p>
    <w:sectPr w:rsidR="00243EDD" w:rsidRPr="00243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DD"/>
    <w:rsid w:val="00243EDD"/>
    <w:rsid w:val="00577354"/>
    <w:rsid w:val="008C055A"/>
    <w:rsid w:val="00DD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6A9F"/>
  <w15:chartTrackingRefBased/>
  <w15:docId w15:val="{91570411-5086-4BC0-8A1B-78710E12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3E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ffiliation">
    <w:name w:val="Affiliation"/>
    <w:basedOn w:val="Normal"/>
    <w:next w:val="Normal"/>
    <w:link w:val="AffiliationCar"/>
    <w:qFormat/>
    <w:rsid w:val="00577354"/>
    <w:pPr>
      <w:spacing w:after="0" w:line="240" w:lineRule="auto"/>
      <w:ind w:firstLine="567"/>
      <w:jc w:val="right"/>
    </w:pPr>
    <w:rPr>
      <w:rFonts w:eastAsia="Times New Roman" w:cs="Times New Roman"/>
      <w:kern w:val="0"/>
      <w:szCs w:val="32"/>
      <w:lang w:val="en-GB"/>
      <w14:ligatures w14:val="none"/>
    </w:rPr>
  </w:style>
  <w:style w:type="character" w:customStyle="1" w:styleId="AffiliationCar">
    <w:name w:val="Affiliation Car"/>
    <w:basedOn w:val="Policepardfaut"/>
    <w:link w:val="Affiliation"/>
    <w:rsid w:val="00577354"/>
    <w:rPr>
      <w:rFonts w:eastAsia="Times New Roman" w:cs="Times New Roman"/>
      <w:kern w:val="0"/>
      <w:szCs w:val="32"/>
      <w:lang w:val="en-GB"/>
      <w14:ligatures w14:val="none"/>
    </w:rPr>
  </w:style>
  <w:style w:type="character" w:customStyle="1" w:styleId="normaltextrun">
    <w:name w:val="normaltextrun"/>
    <w:basedOn w:val="Policepardfaut"/>
    <w:rsid w:val="00243EDD"/>
  </w:style>
  <w:style w:type="character" w:customStyle="1" w:styleId="eop">
    <w:name w:val="eop"/>
    <w:basedOn w:val="Policepardfaut"/>
    <w:rsid w:val="00243EDD"/>
  </w:style>
  <w:style w:type="character" w:customStyle="1" w:styleId="Titre1Car">
    <w:name w:val="Titre 1 Car"/>
    <w:basedOn w:val="Policepardfaut"/>
    <w:link w:val="Titre1"/>
    <w:uiPriority w:val="9"/>
    <w:rsid w:val="00243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Valérie</dc:creator>
  <cp:keywords/>
  <dc:description/>
  <cp:lastModifiedBy>Henry Valérie</cp:lastModifiedBy>
  <cp:revision>1</cp:revision>
  <dcterms:created xsi:type="dcterms:W3CDTF">2023-12-01T07:43:00Z</dcterms:created>
  <dcterms:modified xsi:type="dcterms:W3CDTF">2023-12-01T07:44:00Z</dcterms:modified>
</cp:coreProperties>
</file>